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174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Für den Vertreter des öffentlichen Interesses bei dem Oberverwaltungsgericht und bei dem Verwaltungsgericht steht der Befähigung zum Richteramt nach dem Deutschen Richtergesetz die Befähigung zum höheren Verwaltungsdienst gleich, wenn sie nach mindestens dreijährigem Studium der Rechtswissenschaft an einer Universität und dreijähriger Ausbildung im öffentlichen Dienst durch Ablegen der gesetzlich vorgeschriebenen Prüfungen erlangt worden ist.</w:t>
      </w:r>
    </w:p>
    <w:p>
      <w:r>
        <w:t xml:space="preserve">(2) Bei Kriegsteilnehmern gilt die Voraussetzung des Absatzes 1 als erfüllt, wenn sie den für sie geltenden besonderen Vorschriften genügt haben.</w:t>
      </w:r>
    </w:p>
    <w:p>
      <w:r>
        <w:rPr>
          <w:color w:val="555555"/>
          <w:sz w:val="17"/>
        </w:rPr>
        <w:t xml:space="preserve">Zitiervorschlag: § 174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https://recht.nulegal.eu/gesetze/VwGO/174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