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den Verwaltungsgerichten können auch folgende Richter verwendet werden:</w:t>
      </w:r>
    </w:p>
    <w:p>
      <w:pPr>
        <w:ind w:left="420"/>
      </w:pPr>
      <w:r>
        <w:t xml:space="preserve">1. Richter auf Probe,</w:t>
      </w:r>
    </w:p>
    <w:p>
      <w:pPr>
        <w:ind w:left="420"/>
      </w:pPr>
      <w:r>
        <w:t xml:space="preserve">2. Richter kraft Auftrags und</w:t>
      </w:r>
    </w:p>
    <w:p>
      <w:pPr>
        <w:ind w:left="420"/>
      </w:pPr>
      <w:r>
        <w:t xml:space="preserve">3. Richter auf Zeit.</w:t>
      </w:r>
    </w:p>
    <w:p>
      <w:r>
        <w:rPr>
          <w:color w:val="555555"/>
          <w:sz w:val="17"/>
        </w:rPr>
        <w:t xml:space="preserve">Zitiervorschlag: § 17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