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168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Vollstreckt wird</w:t>
      </w:r>
    </w:p>
    <w:p>
      <w:pPr>
        <w:ind w:left="420"/>
      </w:pPr>
      <w:r>
        <w:t xml:space="preserve">1. aus rechtskräftigen und aus vorläufig vollstreckbaren gerichtlichen Entscheidungen,</w:t>
      </w:r>
    </w:p>
    <w:p>
      <w:pPr>
        <w:ind w:left="420"/>
      </w:pPr>
      <w:r>
        <w:t xml:space="preserve">2. aus einstweiligen Anordnungen,</w:t>
      </w:r>
    </w:p>
    <w:p>
      <w:pPr>
        <w:ind w:left="420"/>
      </w:pPr>
      <w:r>
        <w:t xml:space="preserve">3. aus gerichtlichen Vergleichen,</w:t>
      </w:r>
    </w:p>
    <w:p>
      <w:pPr>
        <w:ind w:left="420"/>
      </w:pPr>
      <w:r>
        <w:t xml:space="preserve">4. aus Kostenfestsetzungsbeschlüssen,</w:t>
      </w:r>
    </w:p>
    <w:p>
      <w:pPr>
        <w:ind w:left="420"/>
      </w:pPr>
      <w:r>
        <w:t xml:space="preserve">5. aus den für vollstreckbar erklärten Schiedssprüchen öffentlich-rechtlicher Schiedsgerichte, sofern die Entscheidung über die Vollstreckbarkeit rechtskräftig oder für vorläufig vollstreckbar erklärt ist.</w:t>
      </w:r>
    </w:p>
    <w:p>
      <w:r>
        <w:t xml:space="preserve">(2) Für die Vollstreckung können den Beteiligten auf ihren Antrag Ausfertigungen des Urteils ohne Tatbestand und ohne Entscheidungsgründe erteilt werden, deren Zustellung in den Wirkungen der Zustellung eines vollständigen Urteils gleichsteht.</w:t>
      </w:r>
    </w:p>
    <w:p>
      <w:r>
        <w:rPr>
          <w:color w:val="555555"/>
          <w:sz w:val="17"/>
        </w:rPr>
        <w:t xml:space="preserve">Zitiervorschlag: § 168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https://recht.nulegal.eu/gesetze/VwGO/168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