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167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sich aus diesem Gesetz nichts anderes ergibt, gilt für die Vollstreckung das Achte Buch der Zivilprozeßordnung entsprechend. Vollstreckungsgericht ist das Gericht des ersten Rechtszugs.</w:t>
      </w:r>
    </w:p>
    <w:p>
      <w:r>
        <w:t xml:space="preserve">(2) Urteile auf Anfechtungs- und Verpflichtungsklagen können nur wegen der Kosten für vorläufig vollstreckbar erklärt werden.</w:t>
      </w:r>
    </w:p>
    <w:p>
      <w:r>
        <w:rPr>
          <w:color w:val="555555"/>
          <w:sz w:val="17"/>
        </w:rPr>
        <w:t xml:space="preserve">Zitiervorschlag: § 167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