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Anfechtung der Entscheidung über die Kosten ist unzulässig, wenn nicht gegen die Entscheidung in der Hauptsache ein Rechtsmittel eingelegt wird.</w:t>
      </w:r>
    </w:p>
    <w:p>
      <w:r>
        <w:t xml:space="preserve">(2) Ist eine Entscheidung in der Hauptsache nicht ergangen, so ist die Entscheidung über die Kosten unanfechtbar.</w:t>
      </w:r>
    </w:p>
    <w:p>
      <w:r>
        <w:rPr>
          <w:color w:val="555555"/>
          <w:sz w:val="17"/>
        </w:rPr>
        <w:t xml:space="preserve">Zitiervorschlag: § 158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