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Der unterliegende Teil trägt die Kosten des Verfahrens.</w:t>
      </w:r>
    </w:p>
    <w:p>
      <w:r>
        <w:t xml:space="preserve">(2) Die Kosten eines ohne Erfolg eingelegten Rechtsmittels fallen demjenigen zur Last, der das Rechtsmittel eingelegt hat.</w:t>
      </w:r>
    </w:p>
    <w:p>
      <w:r>
        <w:t xml:space="preserve">(3) Dem Beigeladenen können Kosten nur auferlegt werden, wenn er Anträge gestellt oder Rechtsmittel eingelegt hat; § 155 Abs. 4 bleibt unberührt.</w:t>
      </w:r>
    </w:p>
    <w:p>
      <w:r>
        <w:t xml:space="preserve">(4) Die Kosten des erfolgreichen Wiederaufnahmeverfahrens können der Staatskasse auferlegt werden, soweit sie nicht durch das Verschulden eines Beteiligten entstanden sind.</w:t>
      </w:r>
    </w:p>
    <w:p>
      <w:r>
        <w:t xml:space="preserve">(5) Soweit der Antragsteller allein auf Grund von § 80c Absatz 2 unterliegt, fallen die Gerichtskosten dem obsiegenden Teil zur Last. Absatz 3 bleibt unberührt.</w:t>
      </w:r>
    </w:p>
    <w:p>
      <w:r>
        <w:rPr>
          <w:color w:val="555555"/>
          <w:sz w:val="17"/>
        </w:rPr>
        <w:t xml:space="preserve">Zitiervorschlag: § 154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https://recht.nulegal.eu/gesetze/VwGO/154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