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152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Entscheidungen des Oberverwaltungsgerichts können vorbehaltlich des § 99 Abs. 2 und des § 133 Abs. 1 dieses Gesetzes sowie des § 17a Abs. 4 Satz 4 des Gerichtsverfassungsgesetzes nicht mit der Beschwerde an das Bundesverwaltungsgericht angefochten werden.</w:t>
      </w:r>
    </w:p>
    <w:p>
      <w:r>
        <w:t xml:space="preserve">(2) Im Verfahren vor dem Bundesverwaltungsgericht gilt für Entscheidungen des beauftragten oder ersuchten Richters oder des Urkundsbeamten der Geschäftsstelle § 151 entsprechend.</w:t>
      </w:r>
    </w:p>
    <w:p>
      <w:r>
        <w:rPr>
          <w:color w:val="555555"/>
          <w:sz w:val="17"/>
        </w:rPr>
        <w:t xml:space="preserve">Zitiervorschlag: § 152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