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Richter werden auf Lebenszeit ernannt, soweit nicht in §§ 16 und 17 Abweichendes bestimmt ist.</w:t>
      </w:r>
    </w:p>
    <w:p>
      <w:r>
        <w:t xml:space="preserve">(2) (weggefallen)</w:t>
      </w:r>
    </w:p>
    <w:p>
      <w:r>
        <w:t xml:space="preserve">(3) Die Richter des Bundesverwaltungsgerichts müssen das fünfunddreißigste Lebensjahr vollendet haben.</w:t>
      </w:r>
    </w:p>
    <w:p>
      <w:r>
        <w:rPr>
          <w:color w:val="555555"/>
          <w:sz w:val="17"/>
        </w:rPr>
        <w:t xml:space="preserve">Zitiervorschlag: § 15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