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hat nur dann aufschiebende Wirkung, wenn sie die Festsetzung eines Ordnungs- oder Zwangsmittels zum Gegenstand hat. Das Gericht, der Vorsitzende oder der Berichterstatter, dessen Entscheidung angefochten wird, kann auch sonst bestimmen, daß die Vollziehung der angefochtenen Entscheidung einstweilen auszusetzen ist.</w:t>
      </w:r>
    </w:p>
    <w:p>
      <w:r>
        <w:t xml:space="preserve">(2) §§ 178 und 181 Abs. 2 des Gerichtsverfassungsgesetzes bleiben unberührt.</w:t>
      </w:r>
    </w:p>
    <w:p>
      <w:r>
        <w:rPr>
          <w:color w:val="555555"/>
          <w:sz w:val="17"/>
        </w:rPr>
        <w:t xml:space="preserve">Zitiervorschlag: § 149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