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Revision kann nur darauf gestützt werden, daß das angefochtene Urteil auf der Verletzung</w:t>
      </w:r>
    </w:p>
    <w:p>
      <w:pPr>
        <w:ind w:left="420"/>
      </w:pPr>
      <w:r>
        <w:t xml:space="preserve">1. von Bundesrecht oder</w:t>
      </w:r>
    </w:p>
    <w:p>
      <w:pPr>
        <w:ind w:left="420"/>
      </w:pPr>
      <w:r>
        <w:t xml:space="preserve">2. einer Vorschrift des Verwaltungsverfahrensgesetzes eines Landes, die ihrem Wortlaut nach mit dem Verwaltungsverfahrensgesetz des Bundes übereinstimmt,</w:t>
      </w:r>
    </w:p>
    <w:p>
      <w:r>
        <w:t xml:space="preserve">beruht.</w:t>
      </w:r>
    </w:p>
    <w:p>
      <w:r>
        <w:t xml:space="preserve">(2) Das Bundesverwaltungsgericht ist an die in dem angefochtenen Urteil getroffenen tatsächlichen Feststellungen gebunden, außer wenn in bezug auf diese Feststellungen zulässige und begründete Revisionsgründe vorgebracht sind.</w:t>
      </w:r>
    </w:p>
    <w:p>
      <w:r>
        <w:t xml:space="preserve">(3) Wird die Revision auf Verfahrensmängel gestützt und liegt nicht zugleich eine der Voraussetzungen des § 132 Abs. 2 Nr. 1 und 2 vor, so ist nur über die geltend gemachten Verfahrensmängel zu entscheiden. Im übrigen ist das Bundesverwaltungsgericht an die geltend gemachten Revisionsgründe nicht gebunden.</w:t>
      </w:r>
    </w:p>
    <w:p>
      <w:r>
        <w:rPr>
          <w:color w:val="555555"/>
          <w:sz w:val="17"/>
        </w:rPr>
        <w:t xml:space="preserve">Zitiervorschlag: § 137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https://recht.nulegal.eu/gesetze/VwGO/137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