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Das Oberverwaltungsgericht hat die notwendigen Beweise zu erheben und in der Sache selbst zu entscheiden.</w:t>
      </w:r>
    </w:p>
    <w:p>
      <w:r>
        <w:t xml:space="preserve">(2) Das Oberverwaltungsgericht darf die Sache, soweit ihre weitere Verhandlung erforderlich ist, unter Aufhebung des Urteils und des Verfahrens an das Verwaltungsgericht nur zurückverweisen,</w:t>
      </w:r>
    </w:p>
    <w:p>
      <w:pPr>
        <w:ind w:left="420"/>
      </w:pPr>
      <w:r>
        <w:t xml:space="preserve">1. soweit das Verfahren vor dem Verwaltungsgericht an einem wesentlichen Mangel leidet und aufgrund dieses Mangels eine umfangreiche oder aufwändige Beweisaufnahme notwendig ist oder</w:t>
      </w:r>
    </w:p>
    <w:p>
      <w:pPr>
        <w:ind w:left="420"/>
      </w:pPr>
      <w:r>
        <w:t xml:space="preserve">2. wenn das Verwaltungsgericht noch nicht in der Sache selbst entschieden hat</w:t>
      </w:r>
    </w:p>
    <w:p>
      <w:r>
        <w:t xml:space="preserve">und ein Beteiligter die Zurückverweisung beantragt.</w:t>
      </w:r>
    </w:p>
    <w:p>
      <w:r>
        <w:t xml:space="preserve">(3) Das Verwaltungsgericht ist an die rechtliche Beurteilung der Berufungsentscheidung gebunden.</w:t>
      </w:r>
    </w:p>
    <w:p>
      <w:r>
        <w:rPr>
          <w:color w:val="555555"/>
          <w:sz w:val="17"/>
        </w:rPr>
        <w:t xml:space="preserve">Zitiervorschlag: § 130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