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124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Gegen Endurteile einschließlich der Teilurteile nach § 110 und gegen Zwischenurteile nach den §§ 109 und 111 steht den Beteiligten die Berufung zu, wenn sie von dem Verwaltungsgericht oder dem Oberverwaltungsgericht zugelassen wird.</w:t>
      </w:r>
    </w:p>
    <w:p>
      <w:r>
        <w:t xml:space="preserve">(2) Die Berufung ist nur zuzulassen,</w:t>
      </w:r>
    </w:p>
    <w:p>
      <w:pPr>
        <w:ind w:left="420"/>
      </w:pPr>
      <w:r>
        <w:t xml:space="preserve">1. wenn ernstliche Zweifel an der Richtigkeit des Urteils bestehen,</w:t>
      </w:r>
    </w:p>
    <w:p>
      <w:pPr>
        <w:ind w:left="420"/>
      </w:pPr>
      <w:r>
        <w:t xml:space="preserve">2. wenn die Rechtssache besondere tatsächliche oder rechtliche Schwierigkeiten aufweist,</w:t>
      </w:r>
    </w:p>
    <w:p>
      <w:pPr>
        <w:ind w:left="420"/>
      </w:pPr>
      <w:r>
        <w:t xml:space="preserve">3. wenn die Rechtssache grundsätzliche Bedeutung hat,</w:t>
      </w:r>
    </w:p>
    <w:p>
      <w:pPr>
        <w:ind w:left="420"/>
      </w:pPr>
      <w:r>
        <w:t xml:space="preserve">4. wenn das Urteil von einer Entscheidung des Oberverwaltungsgerichts, des Bundesverwaltungsgerichts, des Gemeinsamen Senats der obersten Gerichtshöfe des Bundes oder des Bundesverfassungsgerichts abweicht und auf dieser Abweichung beruht oder</w:t>
      </w:r>
    </w:p>
    <w:p>
      <w:pPr>
        <w:ind w:left="420"/>
      </w:pPr>
      <w:r>
        <w:t xml:space="preserve">5. wenn ein der Beurteilung des Berufungsgerichts unterliegender Verfahrensmangel geltend gemacht wird und vorliegt, auf dem die Entscheidung beruhen kann.</w:t>
      </w:r>
    </w:p>
    <w:p>
      <w:r>
        <w:rPr>
          <w:color w:val="555555"/>
          <w:sz w:val="17"/>
        </w:rPr>
        <w:t xml:space="preserve">Zitiervorschlag: § 124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https://recht.nulegal.eu/gesetze/VwGO/124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