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122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 88, 108 Abs. 1 Satz 1, §§ 118, 119 und 120 gelten entsprechend für Beschlüsse.</w:t>
      </w:r>
    </w:p>
    <w:p>
      <w:r>
        <w:t xml:space="preserve">(2) Beschlüsse sind zu begründen, wenn sie durch Rechtsmittel angefochten werden können oder über einen Rechtsbehelf entscheiden. Beschlüsse über die Aussetzung der Vollziehung (§§ 80, 80a) und über einstweilige Anordnungen (§ 123) sowie Beschlüsse nach Erledigung des Rechtsstreits in der Hauptsache (§ 161 Abs. 2) sind stets zu begründen. Beschlüsse, die über ein Rechtsmittel entscheiden, bedürfen keiner weiteren Begründung, soweit das Gericht das Rechtsmittel aus den Gründen der angefochtenen Entscheidung als unbegründet zurückweist.</w:t>
      </w:r>
    </w:p>
    <w:p>
      <w:r>
        <w:rPr>
          <w:color w:val="555555"/>
          <w:sz w:val="17"/>
        </w:rPr>
        <w:t xml:space="preserve">Zitiervorschlag: § 122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https://recht.nulegal.eu/gesetze/VwGO/122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