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Rechtskräftige Urteile binden, soweit über den Streitgegenstand entschieden worden ist,</w:t>
      </w:r>
    </w:p>
    <w:p>
      <w:pPr>
        <w:ind w:left="420"/>
      </w:pPr>
      <w:r>
        <w:t xml:space="preserve">1. die Beteiligten und ihre Rechtsnachfolger und</w:t>
      </w:r>
    </w:p>
    <w:p>
      <w:pPr>
        <w:ind w:left="420"/>
      </w:pPr>
      <w:r>
        <w:t xml:space="preserve">2. im Fall des § 65 Abs. 3 die Personen, die einen Antrag auf Beiladung nicht oder nicht fristgemäß gestellt haben.</w:t>
      </w:r>
    </w:p>
    <w:p>
      <w:r>
        <w:rPr>
          <w:color w:val="555555"/>
          <w:sz w:val="17"/>
        </w:rPr>
        <w:t xml:space="preserve">Zitiervorschlag: § 121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