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11 gelten für das Oberverwaltungsgericht entsprechend, soweit es über eine Frage des Landesrechts endgültig entscheidet. An die Stelle der Revisionssenate treten die nach diesem Gesetz gebildeten Berufungssenate.</w:t>
      </w:r>
    </w:p>
    <w:p>
      <w:r>
        <w:t xml:space="preserve">(2) Besteht ein Oberverwaltungsgericht nur aus zwei Berufungssenaten, so treten an die Stelle des Großen Senats die Vereinigten Senate.</w:t>
      </w:r>
    </w:p>
    <w:p>
      <w:r>
        <w:t xml:space="preserve">(3) Durch Landesgesetz kann eine abweichende Zusammensetzung des Großen Senats bestimmt werden.</w:t>
      </w:r>
    </w:p>
    <w:p>
      <w:r>
        <w:rPr>
          <w:color w:val="555555"/>
          <w:sz w:val="17"/>
        </w:rPr>
        <w:t xml:space="preserve">Zitiervorschlag: § 12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