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nach seiner freien, aus dem Gesamtergebnis des Verfahrens gewonnenen Überzeugung. In dem Urteil sind die Gründe anzugeben, die für die richterliche Überzeugung leitend gewesen sind.</w:t>
      </w:r>
    </w:p>
    <w:p>
      <w:r>
        <w:t xml:space="preserve">(2) Das Urteil darf nur auf Tatsachen und Beweisergebnisse gestützt werden, zu denen die Beteiligten sich äußern konnten.</w:t>
      </w:r>
    </w:p>
    <w:p>
      <w:r>
        <w:rPr>
          <w:color w:val="555555"/>
          <w:sz w:val="17"/>
        </w:rPr>
        <w:t xml:space="preserve">Zitiervorschlag: § 108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