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103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eröffnet und leitet die mündliche Verhandlung.</w:t>
      </w:r>
    </w:p>
    <w:p>
      <w:r>
        <w:t xml:space="preserve">(2) Nach Aufruf der Sache trägt der Vorsitzende oder der Berichterstatter den wesentlichen Inhalt der Akten vor.</w:t>
      </w:r>
    </w:p>
    <w:p>
      <w:r>
        <w:t xml:space="preserve">(3) Hierauf erhalten die Beteiligten das Wort, um ihre Anträge zu stellen und zu begründen.</w:t>
      </w:r>
    </w:p>
    <w:p>
      <w:r>
        <w:rPr>
          <w:color w:val="555555"/>
          <w:sz w:val="17"/>
        </w:rPr>
        <w:t xml:space="preserve">Zitiervorschlag: § 103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