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VwDVG 2010 — Daten der Bundesanstalt für Finanzdienstleistungsaufsicht</w:t>
      </w:r>
    </w:p>
    <w:p>
      <w:r>
        <w:rPr>
          <w:color w:val="555555"/>
          <w:sz w:val="18"/>
        </w:rPr>
        <w:t xml:space="preserve">Verwaltungsdatenverwendungsgesetz</w:t>
      </w:r>
    </w:p>
    <w:p>
      <w:r>
        <w:rPr>
          <w:color w:val="555555"/>
          <w:sz w:val="18"/>
        </w:rPr>
        <w:t xml:space="preserve">Stand: 01.01.2026 (konsolidierte Textfassung, kein amtliches Inkrafttretensdatum)</w:t>
      </w:r>
    </w:p>
    <w:p>
      <w:r>
        <w:t xml:space="preserve">Die Bundesanstalt für Finanzdienstleistungsaufsicht übermittelt dem Statistischen Bundesamt folgende Daten der unter Bundesaufsicht stehenden Unternehmen der Wirtschaftsgruppen 64.2 – Beteiligungsgesellschaften und Finanzierungs-Conduits, 64.3 – Treuhand- und sonstige Fonds und ähnliche Finanzinstitutionen, 65.1 – Versicherungen, 65.2 – Rückversicherungen und 65.3 – Pensionskassen und Pensionsfonds, 66.3 – Fondsmanagement nach Anhang I der Verordnung (EG) Nr. 1893/2006 in Verbindung mit der vom Statistischen Bundesamt daraus erstellten Klassifikation der Wirtschaftszweige, soweit sie der Bundesanstalt für Finanzdienstleistungsaufsicht vorliegen:</w:t>
      </w:r>
    </w:p>
    <w:p>
      <w:pPr>
        <w:ind w:left="420"/>
      </w:pPr>
      <w:r>
        <w:t xml:space="preserve">1. Name und Anschrift,</w:t>
      </w:r>
    </w:p>
    <w:p>
      <w:pPr>
        <w:ind w:left="420"/>
      </w:pPr>
      <w:r>
        <w:t xml:space="preserve">2. Rechtsform,</w:t>
      </w:r>
    </w:p>
    <w:p>
      <w:pPr>
        <w:ind w:left="420"/>
      </w:pPr>
      <w:r>
        <w:t xml:space="preserve">3. Wirtschaftszweig,</w:t>
      </w:r>
    </w:p>
    <w:p>
      <w:pPr>
        <w:ind w:left="420"/>
      </w:pPr>
      <w:r>
        <w:t xml:space="preserve">4. Ort und Nummer der Eintragung in das Handelsregister,</w:t>
      </w:r>
    </w:p>
    <w:p>
      <w:pPr>
        <w:ind w:left="420"/>
      </w:pPr>
      <w:r>
        <w:t xml:space="preserve">5. Legal Entity Identifier,</w:t>
      </w:r>
    </w:p>
    <w:p>
      <w:pPr>
        <w:ind w:left="420"/>
      </w:pPr>
      <w:r>
        <w:t xml:space="preserve">6. die erfassten Daten der Formblätter zur Bilanz und Gewinn- und Verlustrechnung sowie die Nachweisungen zu den formgebundenen Erläuterungen der Gliederung der in bestimmten Aufwandsposten der Gewinn- und Verlustrechnung ausgewiesenen Aufwendungen nach Aufwandsarten, den Investitionen in selbst erstellte Anlagen sowie Anzahl der Beschäftigten und der Erträge aus den Kapitalanlagen und Aufwendungen für die Kapitalanlagen, bei Pensionsfonds einschließlich Kapitalanlagen für Rechnung und Risiko von Arbeitnehmern und Arbeitgebern.</w:t>
      </w:r>
    </w:p>
    <w:p>
      <w:r>
        <w:t xml:space="preserve">Die in § 309 Absatz 1 Satz 1 des Versicherungsaufsichtsgesetzes genannten Personen sind insoweit von ihrer Verschwiegenheitspflicht befreit. Das Statistische Bundesamt übermittelt die Daten an die statistischen Ämter der Länder jeweils für deren Zuständigkeitsbereich. Im Übrigen gilt für die nach dieser Vorschrift erhaltenen Informationen die Verschwiegenheitspflicht gemäß § 309 Absatz 1 Satz 1 des Versicherungsaufsichtsgesetzes für die bei dem Statistischen Bundesamt und den statistischen Ämtern der Länder beschäftigten Personen entsprechend.</w:t>
      </w:r>
    </w:p>
    <w:p>
      <w:r>
        <w:rPr>
          <w:color w:val="555555"/>
          <w:sz w:val="17"/>
        </w:rPr>
        <w:t xml:space="preserve">Zitiervorschlag: § 3a VwDVG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https://recht.nulegal.eu/gesetze/VwDVG%202010/3a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