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VwDVG 2010 — Daten der Finanzbehörden</w:t>
      </w:r>
    </w:p>
    <w:p>
      <w:r>
        <w:rPr>
          <w:color w:val="555555"/>
          <w:sz w:val="18"/>
        </w:rPr>
        <w:t xml:space="preserve">Verwaltungsdatenverwendungsgesetz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Finanzbehörden übermitteln dem Statistischen Bundesamt und den statistischen Ämtern der Länder jeweils für deren Zuständigkeitsbereich folgende Daten zu Steuerpflichtigen, die zur Abgabe von Umsatzsteuervoranmeldungen verpflichtet sind:</w:t>
      </w:r>
    </w:p>
    <w:p>
      <w:pPr>
        <w:ind w:left="420"/>
      </w:pPr>
      <w:r>
        <w:t xml:space="preserve">1. Name oder Firma, Anschrift und Gemeindeschlüssel sowie Kennzeichnung als Sitzadresse,</w:t>
      </w:r>
    </w:p>
    <w:p>
      <w:pPr>
        <w:ind w:left="420"/>
      </w:pPr>
      <w:r>
        <w:t xml:space="preserve">2. Rechtsform,</w:t>
      </w:r>
    </w:p>
    <w:p>
      <w:pPr>
        <w:ind w:left="420"/>
      </w:pPr>
      <w:r>
        <w:t xml:space="preserve">3. Wirtschaftszweig,</w:t>
      </w:r>
    </w:p>
    <w:p>
      <w:pPr>
        <w:ind w:left="420"/>
      </w:pPr>
      <w:r>
        <w:t xml:space="preserve">4. Ort und Nummer der Eintragung in das Handels-, Genossenschafts-, Gesellschafts-, Partnerschafts- oder Vereinsregister,</w:t>
      </w:r>
    </w:p>
    <w:p>
      <w:pPr>
        <w:ind w:left="420"/>
      </w:pPr>
      <w:r>
        <w:t xml:space="preserve">5. Zugehörigkeit zu einer Organschaft,</w:t>
      </w:r>
    </w:p>
    <w:p>
      <w:pPr>
        <w:ind w:left="420"/>
      </w:pPr>
      <w:r>
        <w:t xml:space="preserve">6. Besteuerungsform,</w:t>
      </w:r>
    </w:p>
    <w:p>
      <w:pPr>
        <w:ind w:left="420"/>
      </w:pPr>
      <w:r>
        <w:t xml:space="preserve">7. Dauerfristverlängerung,</w:t>
      </w:r>
    </w:p>
    <w:p>
      <w:pPr>
        <w:ind w:left="420"/>
      </w:pPr>
      <w:r>
        <w:t xml:space="preserve">8. Voranmeldungszeitraum,</w:t>
      </w:r>
    </w:p>
    <w:p>
      <w:pPr>
        <w:ind w:left="420"/>
      </w:pPr>
      <w:r>
        <w:t xml:space="preserve">9. Umsätze, Umsatzsteuer und Vorsteuer mit den im Besteuerungsverfahren festgestellten Angaben,</w:t>
      </w:r>
    </w:p>
    <w:p>
      <w:pPr>
        <w:ind w:left="420"/>
      </w:pPr>
      <w:r>
        <w:t xml:space="preserve">10. Steuernummer einschließlich Nummer des Finanzamts, bei Änderungen auch die bisherige Steuernummer,</w:t>
      </w:r>
    </w:p>
    <w:p>
      <w:pPr>
        <w:ind w:left="420"/>
      </w:pPr>
      <w:r>
        <w:t xml:space="preserve">11. Umsatzsteuer-Identifikationsnummer,</w:t>
      </w:r>
    </w:p>
    <w:p>
      <w:pPr>
        <w:ind w:left="420"/>
      </w:pPr>
      <w:r>
        <w:t xml:space="preserve">12. Wirtschafts-Identifikationsnummer nach § 139c der Abgabenordnung,</w:t>
      </w:r>
    </w:p>
    <w:p>
      <w:pPr>
        <w:ind w:left="420"/>
      </w:pPr>
      <w:r>
        <w:t xml:space="preserve">13. Art der Umsatzsteuervoranmeldung,</w:t>
      </w:r>
    </w:p>
    <w:p>
      <w:pPr>
        <w:ind w:left="420"/>
      </w:pPr>
      <w:r>
        <w:t xml:space="preserve">14. Beginn und Ende der Voranmeldungspflicht und der Steuerpflicht.</w:t>
      </w:r>
    </w:p>
    <w:p>
      <w:r>
        <w:t xml:space="preserve">Zusätzlich übermitteln die Finanzbehörden aktuelle Daten über die Zusammensetzung von umsatzsteuerlichen Organschaften, für die Daten nach Satz 1 geliefert werden.</w:t>
      </w:r>
    </w:p>
    <w:p>
      <w:r>
        <w:rPr>
          <w:color w:val="555555"/>
          <w:sz w:val="17"/>
        </w:rPr>
        <w:t xml:space="preserve">Zitiervorschlag: § 2 VwDVG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https://recht.nulegal.eu/gesetze/VwDVG%202010/2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