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VwAoFlag (Bayern)</w:t>
      </w:r>
    </w:p>
    <w:p>
      <w:r>
        <w:rPr>
          <w:color w:val="555555"/>
          <w:sz w:val="18"/>
        </w:rPr>
        <w:t xml:space="preserve">Flaggen-Verwaltungsanordnung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43, 55 Nr. 2 Satz 2 in Verbindung mit Art. 1 Abs. 2 und 3 der Verfassung und dem Gesetz über das Wappen des Freistaates Bayern erlässt die Bayerische Staatsregierung folgende Verwaltungsanordnung:</w:t>
      </w:r>
    </w:p>
    <w:p>
      <w:r>
        <w:rPr>
          <w:color w:val="555555"/>
          <w:sz w:val="17"/>
        </w:rPr>
        <w:t xml:space="preserve">Zitiervorschlag: Eingangsformel VwAoFlag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https://recht.nulegal.eu/gesetze/VwAoFlag/eingangsformel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