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VwAoFlag (Bayern)</w:t>
      </w:r>
    </w:p>
    <w:p>
      <w:r>
        <w:rPr>
          <w:color w:val="555555"/>
          <w:sz w:val="18"/>
        </w:rPr>
        <w:t xml:space="preserve">Flaggen-Verwaltungsanordnung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Verwaltungsanordnung tritt mit Wirkung vom 1. Januar 1971 in Kraft.</w:t>
      </w:r>
    </w:p>
    <w:p>
      <w:r>
        <w:t xml:space="preserve">(2) (gegenstandslos)</w:t>
      </w:r>
    </w:p>
    <w:p>
      <w:r>
        <w:t xml:space="preserve">[Amtl. Anm.:] Diese Vorschrift betrifft das In-Kraft-Treten der Verwaltungsanordnung in der ursprünglichen Fassung vom 16. Februar 1971 (GVBl S.69). Der Zeitpunkt des In-Kraft-Tretens der späteren Änderungen ergibt sich aus den jeweiligen Änderungsverwaltungsanordnungen.</w:t>
      </w:r>
    </w:p>
    <w:p>
      <w:r>
        <w:rPr>
          <w:color w:val="555555"/>
          <w:sz w:val="17"/>
        </w:rPr>
        <w:t xml:space="preserve">Zitiervorschlag: § 7 VwAoFlag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https://recht.nulegal.eu/gesetze/VwAoFlag/7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