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VwAoFlag (Bayern)</w:t>
      </w:r>
    </w:p>
    <w:p>
      <w:r>
        <w:rPr>
          <w:color w:val="555555"/>
          <w:sz w:val="18"/>
        </w:rPr>
        <w:t xml:space="preserve">Flaggen-Verwaltungsanordnung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Dienstflagge des Ministerpräsidenten und seines Stellvertreters besteht aus einem Rechteck in der Größe 30 x 30 cm und enthält auf weißem, von einer 5 cm breiten blauen Borte eingefassten Tuch auf beiden Seiten in der Mitte das farbig gestickte große bayerische Staatswappen in den Abmessungen von etwa 10 x 13 cm.</w:t>
      </w:r>
    </w:p>
    <w:p>
      <w:r>
        <w:t xml:space="preserve">(2) Die Dienstflagge der Staatsminister und Staatssekretäre besteht aus einem Flaggentuch in den bayerischen Landesfarben (§ 1 Abs. 2) in der Größe 25 x 25 cm und enthält in der Mitte auf beiden Seiten das farbig gestickte große bayerische Staatswappen in den Abmessungen von etwa 10 x 13 cm.</w:t>
      </w:r>
    </w:p>
    <w:p>
      <w:r>
        <w:t xml:space="preserve">(3) Die Dienstflagge des Bevollmächtigten des Freistaates Bayern beim Bund und der Präsidenten des Verfassungsgerichtshofs und des Obersten Rechnungshofs besteht aus einem Flaggentuch in den bayerischen Landesfarben (§ 1 Abs. 2) in der Größe von 18 cm Höhe und 25 cm Breite. Die Dienstflagge enthält in 5 cm Abstand von der Flaggenstange auf beiden Seiten das farbig gestickte große bayerische Staatswappen in den Abmessungen von etwa 5,5 x 7 cm.</w:t>
      </w:r>
    </w:p>
    <w:p>
      <w:r>
        <w:rPr>
          <w:color w:val="555555"/>
          <w:sz w:val="17"/>
        </w:rPr>
        <w:t xml:space="preserve">Zitiervorschlag: § 6 VwAoFlag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https://recht.nulegal.eu/gesetze/VwAoFlag/6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