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VwAoFlag (Bayern)</w:t>
      </w:r>
    </w:p>
    <w:p>
      <w:r>
        <w:rPr>
          <w:color w:val="555555"/>
          <w:sz w:val="18"/>
        </w:rPr>
        <w:t xml:space="preserve">Flaggen-Verwaltungsanordnung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Zur Führung einer Dienstflagge an ihren Kraftwagen sind berechtigt</w:t>
      </w:r>
    </w:p>
    <w:p>
      <w:r>
        <w:t xml:space="preserve">1. der Ministerpräsident und sein Stellvertreter,</w:t>
      </w:r>
    </w:p>
    <w:p>
      <w:r>
        <w:t xml:space="preserve">2. die Staatsminister und Staatssekretäre,</w:t>
      </w:r>
    </w:p>
    <w:p>
      <w:r>
        <w:t xml:space="preserve">3. der Bevollmächtigte des Freistaates Bayern beim Bund, die Präsidenten des Verfassungsgerichtshofs und des Obersten Rechnungshofs.</w:t>
      </w:r>
    </w:p>
    <w:p>
      <w:r>
        <w:t xml:space="preserve">Die Führung von Dienstflaggen durch den Präsidenten des Landtags wird durch Satz 1 nicht berührt.</w:t>
      </w:r>
    </w:p>
    <w:p>
      <w:r>
        <w:t xml:space="preserve">(2) Die Dienstflagge wird an den Kraftwagen vorne rechts mit der Fläche in der Fahrtrichtung gesetzt. Sie kann auch an privateigenen Kraftwagen geführt werden, die zu einer Dienstfahrt verwendet werden.</w:t>
      </w:r>
    </w:p>
    <w:p>
      <w:r>
        <w:rPr>
          <w:color w:val="555555"/>
          <w:sz w:val="17"/>
        </w:rPr>
        <w:t xml:space="preserve">Zitiervorschlag: § 5 VwAoFlag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https://recht.nulegal.eu/gesetze/VwAoFlag/5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