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VwAoFlag (Bayern)</w:t>
      </w:r>
    </w:p>
    <w:p>
      <w:r>
        <w:rPr>
          <w:color w:val="555555"/>
          <w:sz w:val="18"/>
        </w:rPr>
        <w:t xml:space="preserve">Flaggen-Verwaltungsanordnung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allgemeine Beflaggung wird, wenn sie vom Ministerpräsidenten angeordnet ist, im Staatsanzeiger, sonst im Amtsblatt der anordnenden Behörde bekannt gemacht.</w:t>
      </w:r>
    </w:p>
    <w:p>
      <w:r>
        <w:t xml:space="preserve">(2) In dringenden Fällen kann die Anordnung fernmündlich, durch Fernschreiben, mittels sonstiger elektronischer Kommunikationsmittel, über den Rundfunk oder durch die Tageszeitungen verbreitet werden. Näheres bestimmt das Staatsministerium des Innern.</w:t>
      </w:r>
    </w:p>
    <w:p>
      <w:r>
        <w:rPr>
          <w:color w:val="555555"/>
          <w:sz w:val="17"/>
        </w:rPr>
        <w:t xml:space="preserve">Zitiervorschlag: § 4 VwAoFlag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https://recht.nulegal.eu/gesetze/VwAoFlag/4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