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VulkReifMechMstrV — Inkrafttreten, Außerkrafttreten</w:t>
      </w:r>
    </w:p>
    <w:p>
      <w:r>
        <w:rPr>
          <w:color w:val="555555"/>
          <w:sz w:val="18"/>
        </w:rPr>
        <w:t xml:space="preserve">Vulkaniseur- und Reifenmechanikermeisterverordnung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September 2006 in Kraft.</w:t>
      </w:r>
    </w:p>
    <w:p>
      <w:r>
        <w:rPr>
          <w:color w:val="555555"/>
          <w:sz w:val="17"/>
        </w:rPr>
        <w:t xml:space="preserve">Zitiervorschlag: § 11 VulkReifMechMstrV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https://recht.nulegal.eu/gesetze/VulkReifMechMstrV/11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