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VulkAusbV 2004 — Übergangsregelung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t xml:space="preserve">(2) Ist für die Ausbildung in den in § 12 Satz 2 genannten Ausbildungsberufen nach Landesrecht der Besuch eines schulischen Berufsgrundbildungsjahres vorgesehen, sind die bisherigen Vorschriften bis zum 31. Juli 2005 weiter anzuwenden.</w:t>
      </w:r>
    </w:p>
    <w:p>
      <w:r>
        <w:t xml:space="preserve">(3) Nach einem erfolgreichen Besuch eines schulischen Berufsgrundbildungsjahres im Berufsfeld Metalltechnik, Schwerpunkt C: Kraftfahrzeugtechnik entsprechend der Berufsgrundbildungsjahr-Anrechnungs-Verordnung vom 17. Juli 1978 (BGBl. I S. 1061), geändert durch § 6 der Verordnung vom 10. März 1988 (BGBl. I S. 229), sind auf bis zum 31. Juli 2005 beginnende Berufsausbildungsverhältnisse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12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