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VsorglastVteilStVtr — Bezüge</w:t>
      </w:r>
    </w:p>
    <w:p>
      <w:r>
        <w:rPr>
          <w:color w:val="555555"/>
          <w:sz w:val="18"/>
        </w:rPr>
        <w:t xml:space="preserve">Versorgungslastenteilungs-Staatsvertrag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Bezüge sind die monatlichen ruhegehaltfähigen Bezüge einschließlich Sonderzahlung.</w:t>
      </w:r>
    </w:p>
    <w:p>
      <w:r>
        <w:t xml:space="preserve">(2) Für die Ermittlung der monatlichen ruhegehaltfähigen Bezüge kommt es auf die Erfüllung von Mindestdienst- oder -bezugszeiten nicht an.</w:t>
      </w:r>
    </w:p>
    <w:p>
      <w:r>
        <w:t xml:space="preserve">(3) 1Eine Sonderzahlung ist zu berücksichtigen, wenn und soweit sie der wechselnden Person im Jahr ihres Ausscheidens zusteht oder ohne Dienstherrenwechsel zustehen würde. 2Sie ist als Monatsbetrag anzusetzen.</w:t>
      </w:r>
    </w:p>
    <w:p>
      <w:r>
        <w:rPr>
          <w:color w:val="555555"/>
          <w:sz w:val="17"/>
        </w:rPr>
        <w:t xml:space="preserve">Zitiervorschlag: § 5 VsorglastVteilStVtr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https://recht.nulegal.eu/gesetze/VsorglastVteilStVtr/5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