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VsorglastVteilStVtr — Inkrafttreten</w:t>
      </w:r>
    </w:p>
    <w:p>
      <w:r>
        <w:rPr>
          <w:color w:val="555555"/>
          <w:sz w:val="18"/>
        </w:rPr>
        <w:t xml:space="preserve">Versorgungslastenteilungs-Staatsvertrag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1Dieser Staatsvertrag tritt am 1. Januar 2011 für die Parteien in Kraft, deren Ratifikationsurkunden bis zum 30. September 2010 bei der Staats- oder Senatskanzlei des Vorsitzenden der Ministerpräsidentenkonferenz hinterlegt sind. 2Für die übrigen Parteien tritt er mit Wirkung zum Beginn des dritten Folgemonats ab Hinterlegung der Ratifikationsurkunde bei der Staats- oder Senatskanzlei des Vorsitzenden der Ministerpräsidentenkonferenz in Kraft.</w:t>
      </w:r>
    </w:p>
    <w:p>
      <w:r>
        <w:t xml:space="preserve">(2) Die Staats- oder Senatskanzlei des Vorsitzenden der Ministerpräsidentenkonferenz teilt den Parteien die Hinterlegung der Ratifikationsurkunden unverzüglich mit.</w:t>
      </w:r>
    </w:p>
    <w:p>
      <w:r>
        <w:rPr>
          <w:color w:val="555555"/>
          <w:sz w:val="17"/>
        </w:rPr>
        <w:t xml:space="preserve">Zitiervorschlag: § 17 VsorglastVteilStVtr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https://recht.nulegal.eu/gesetze/VsorglastVteilStVtr/17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