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VsorglastVteilStVtr — Erneuter Dienstherrenwechsel nach Inkrafttreten des Staatsvertrages</w:t>
      </w:r>
    </w:p>
    <w:p>
      <w:r>
        <w:rPr>
          <w:color w:val="555555"/>
          <w:sz w:val="18"/>
        </w:rPr>
        <w:t xml:space="preserve">Versorgungslastenteilungs-Staatsvertrag</w:t>
      </w:r>
    </w:p>
    <w:p>
      <w:r>
        <w:rPr>
          <w:color w:val="555555"/>
          <w:sz w:val="18"/>
        </w:rPr>
        <w:t xml:space="preserve">Stand: 10.06.2019 (konsolidierte Textfassung, kein amtliches Inkrafttretensdatum)</w:t>
      </w:r>
    </w:p>
    <w:p>
      <w:r>
        <w:t xml:space="preserve">1Erfolgt in Fällen des § 11 nach Inkrafttreten des Staatsvertrages ein weiterer Dienstherrenwechsel, der die Voraussetzungen des § 3 erfüllt, gilt für die nach § 107b BeamtVG erstattungspflichtigen Dienstherren § 11 mit der Maßgabe, dass die Abfindung an den aufnehmenden Dienstherrn abweichend von § 11 Abs. 3 Satz 1 innerhalb von sechs Monaten nach Unterrichtung der zahlungspflichtigen Dienstherren über den letzten Dienstherrenwechsel durch den aufnehmenden Dienstherrn an diesen zu leisten ist. 2Die Berechnung der vom letzten abgebenden Dienstherrn zu leistenden Abfindung bestimmt sich nach §§ 4 bis 6 mit der Maßgabe, dass ihm abweichend von § 6 die Zeiten nicht zugerechnet werden, für die eine Abfindung nach Satz 1 geleistet wird; § 11 Abs. 2 Nr. 3 und Abs. 3 Satz 3 gilt entsprechend.</w:t>
      </w:r>
    </w:p>
    <w:p>
      <w:r>
        <w:rPr>
          <w:color w:val="555555"/>
          <w:sz w:val="17"/>
        </w:rPr>
        <w:t xml:space="preserve">Zitiervorschlag: § 12 VsorglastVteilStVtr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https://recht.nulegal.eu/gesetze/VsorglastVteilStVtr/12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VsorglastVteilStVtr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