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VsorglastVteilStVtr — Laufende Erstattungen nach § 107b BeamtVG</w:t>
      </w:r>
    </w:p>
    <w:p>
      <w:r>
        <w:rPr>
          <w:color w:val="555555"/>
          <w:sz w:val="18"/>
        </w:rPr>
        <w:t xml:space="preserve">Versorgungslastenteilungs-Staatsvertrag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in Fällen des § 9 der Versorgungsfall vor Inkrafttreten des Staatsvertrages eingetreten, besteht der Erstattungsanspruch mit folgenden Maßgaben fort:</w:t>
      </w:r>
    </w:p>
    <w:p>
      <w:pPr>
        <w:ind w:left="420"/>
      </w:pPr>
      <w:r>
        <w:t xml:space="preserve">1. Der zuletzt vor Inkrafttreten des Staatsvertrages geleistete jährliche Erstattungsbetrag wird festgeschrieben.</w:t>
      </w:r>
    </w:p>
    <w:p>
      <w:pPr>
        <w:ind w:left="420"/>
      </w:pPr>
      <w:r>
        <w:t xml:space="preserve">2. Der Erstattungsbetrag erhöht oder vermindert sich jeweils um die Vom-Hundert-Sätze der linearen Anpassungen der Versorgungsbezüge nach dem Recht des erstattungspflichtigen Dienstherrn.</w:t>
      </w:r>
    </w:p>
    <w:p>
      <w:pPr>
        <w:ind w:left="420"/>
      </w:pPr>
      <w:r>
        <w:t xml:space="preserve">3. Bei Eintritt der Hinterbliebenenversorgung vermindert sich der Erstattungsbetrag auf den Betrag, der sich aus dem Vom-Hundert-Satz der Hinterbliebenenversorgung nach dem Recht des erstattungspflichtigen Dienstherrn ergibt.</w:t>
      </w:r>
    </w:p>
    <w:p>
      <w:r>
        <w:t xml:space="preserve">(2) Die beteiligten Dienstherren unterrichten sich unverzüglich über eine Änderung erstattungsrelevanter Umstände.</w:t>
      </w:r>
    </w:p>
    <w:p>
      <w:r>
        <w:rPr>
          <w:color w:val="555555"/>
          <w:sz w:val="17"/>
        </w:rPr>
        <w:t xml:space="preserve">Zitiervorschlag: § 10 VsorglastVteilStVtr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https://recht.nulegal.eu/gesetze/VsorglastVteilStVtr/10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VsorglastVteilStVtr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