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VsorglastVteilStVtr — Geltungsbereich</w:t>
      </w:r>
    </w:p>
    <w:p>
      <w:r>
        <w:rPr>
          <w:color w:val="555555"/>
          <w:sz w:val="18"/>
        </w:rPr>
        <w:t xml:space="preserve">Versorgungslastenteilungs-Staatsvertrag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Dieser Staatsvertrag gilt für den Bund, die Länder sowie die Gemeinden, Gemeindeverbände und sonstigen, unter der Aufsicht des Bundes oder der Länder stehenden Körperschaften, Anstalten und Stiftungen des öffentlichen Rechts.</w:t>
      </w:r>
    </w:p>
    <w:p>
      <w:r>
        <w:rPr>
          <w:color w:val="555555"/>
          <w:sz w:val="17"/>
        </w:rPr>
        <w:t xml:space="preserve">Zitiervorschlag: § 1 VsorglastVteilStVtr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https://recht.nulegal.eu/gesetze/VsorglastVteilStVtr/1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