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VorlPflSchMAnwV — Inkrafttreten</w:t>
      </w:r>
    </w:p>
    <w:p>
      <w:r>
        <w:rPr>
          <w:color w:val="555555"/>
          <w:sz w:val="18"/>
        </w:rPr>
        <w:t xml:space="preserve">Verordnung zur vorläufigen Regelung der Anwendung bestimmter Pflanzenschutzmittel</w:t>
      </w:r>
    </w:p>
    <w:p>
      <w:r>
        <w:rPr>
          <w:color w:val="555555"/>
          <w:sz w:val="18"/>
        </w:rPr>
        <w:t xml:space="preserve">Historische Fassung: Stand 01.01.2024 bis 01.07.2024. Dies ist nicht die aktuelle Fassung.</w:t>
      </w:r>
    </w:p>
    <w:p>
      <w:r>
        <w:t xml:space="preserve">Diese Verordnung tritt mit Ablauf des 31. Dezember 2023 in Kraft und mit Ablauf des 30. Juni 2024 außer Kraft, soweit nicht mit Zustimmung des Bundesrates etwas anderes verordnet wird.</w:t>
      </w:r>
    </w:p>
    <w:p>
      <w:r>
        <w:rPr>
          <w:color w:val="555555"/>
          <w:sz w:val="17"/>
        </w:rPr>
        <w:t xml:space="preserve">Zitiervorschlag: § 3 VorlPflSchMAnwV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https://recht.nulegal.eu/gesetze/VorlPflSchMAnwV/3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