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VollzLVO (Sachsen)</w:t>
      </w:r>
    </w:p>
    <w:p>
      <w:r>
        <w:rPr>
          <w:color w:val="555555"/>
          <w:sz w:val="18"/>
        </w:rPr>
        <w:t xml:space="preserve">Vollzugslockerungsverordnung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 Grund des § 42 Absatz 1 des Sächsischen Gesetzes über die Hilfen und die Unterbringung bei psychischen Krankheiten in der Fassung der Bekanntmachung vom 10. Oktober 2007 (SächsGVBl. S. 422), das durch Artikel 1 des Gesetzes vom 7. August 2014 (SächsGVBl. S. 446) geändert worden ist, verordnet das Staatsministerium für Soziales und Verbraucherschutz im Einvernehmen mit dem Staatsministerium des Innern und dem Staatsministerium der Justiz:</w:t>
      </w:r>
    </w:p>
    <w:p>
      <w:r>
        <w:rPr>
          <w:color w:val="555555"/>
          <w:sz w:val="17"/>
        </w:rPr>
        <w:t xml:space="preserve">Zitiervorschlag: Eingangsformel VollzLVO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https://recht.nulegal.eu/gesetze/VollzLVO/eingangsformel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