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VollzLVO (Sachsen) — Inkrafttreten</w:t>
      </w:r>
    </w:p>
    <w:p>
      <w:r>
        <w:rPr>
          <w:color w:val="555555"/>
          <w:sz w:val="18"/>
        </w:rPr>
        <w:t xml:space="preserve">Vollzugslockerungsverordnung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27. Januar 2016</w:t>
      </w:r>
    </w:p>
    <w:p>
      <w:r>
        <w:t xml:space="preserve">Die Staatsministerin für Soziales und Verbraucherschutz</w:t>
      </w:r>
    </w:p>
    <w:p>
      <w:r>
        <w:t xml:space="preserve">Barbara Klepsch</w:t>
      </w:r>
    </w:p>
    <w:p>
      <w:r>
        <w:rPr>
          <w:color w:val="555555"/>
          <w:sz w:val="17"/>
        </w:rPr>
        <w:t xml:space="preserve">Zitiervorschlag: § 6 VollzLVO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https://recht.nulegal.eu/gesetze/VollzLVO/6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VollzLVO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