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VollstrVtrTUNAG</w:t>
      </w:r>
    </w:p>
    <w:p>
      <w:r>
        <w:rPr>
          <w:color w:val="555555"/>
          <w:sz w:val="18"/>
        </w:rPr>
        <w:t xml:space="preserve">Gesetz zur Ausführung des Vertrages vom 19. Juli 1966 zwischen der Bundesrepublik Deutschland und der Tunesischen Republik über Rechtsschutz und Rechtshilfe, die Anerkennung und Vollstreckung gerichtlicher Entscheidungen in Zivil- und Handelssachen sowie über die Handelsschiedsgerichtsbarkeit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Aus den für vollstreckbar erklärten gerichtlichen Entscheidungen oder anderen Schuldtiteln findet die Zwangsvollstreckung statt, sofern die Entscheidung über die Vollstreckbarkeit rechtskräftig oder für vorläufig vollstreckbar erklärt ist.</w:t>
      </w:r>
    </w:p>
    <w:p>
      <w:r>
        <w:rPr>
          <w:color w:val="555555"/>
          <w:sz w:val="17"/>
        </w:rPr>
        <w:t xml:space="preserve">Zitiervorschlag: § 8 VollstrVtrTUNAG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https://recht.nulegal.eu/gesetze/VollstrVtrTUNAG/8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