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VollstrVtrGRCAG</w:t>
      </w:r>
    </w:p>
    <w:p>
      <w:r>
        <w:rPr>
          <w:color w:val="555555"/>
          <w:sz w:val="18"/>
        </w:rPr>
        <w:t xml:space="preserve">Gesetz zur Ausführung des Vertrages vom 4. November 1961 zwischen der Bundesrepublik Deutschland und dem Königreich Griechenland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Hängt die Vollstreckung nach dem Inhalt des Schuldtitels (§ 1 Abs. 1) von einer dem Gläubiger obliegenden Sicherheitsleistung, dem Ablauf einer Frist oder dem Eintritt einer anderen Tatsache ab oder wird die Vollstreckbarerklärung zugunsten eines anderen als des in dem Schuldtitel bezeichneten Gläubigers oder gegen einen anderen als den darin bezeichneten Schuldner nachgesucht, so ist die Frage, inwieweit die Vollstreckbarerklärung von dem Nachweis besonderer Voraussetzungen abhängig oder ob der Schuldtitel für oder gegen den anderen vollstreckbar ist, nach griechischem Recht zu entscheiden. Der Nachweis ist durch öffentliche oder öffentlich beglaubigte Urkunden zu führen, sofern nicht die Tatsachen bei dem Gericht offenkundig sind. Kann er in dieser Form nicht erbracht werden, so ist mündliche Verhandlung anzuordnen.</w:t>
      </w:r>
    </w:p>
    <w:p>
      <w:r>
        <w:rPr>
          <w:color w:val="555555"/>
          <w:sz w:val="17"/>
        </w:rPr>
        <w:t xml:space="preserve">Zitiervorschlag: § 3 VollstrVtrGRCAG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https://recht.nulegal.eu/gesetze/VollstrVtrGRCAG/3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