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VollstrVergV</w:t>
      </w:r>
    </w:p>
    <w:p>
      <w:r>
        <w:rPr>
          <w:color w:val="555555"/>
          <w:sz w:val="18"/>
        </w:rPr>
        <w:t xml:space="preserve">Vollstreckungsvergütungsverordnung</w:t>
      </w:r>
    </w:p>
    <w:p>
      <w:r>
        <w:rPr>
          <w:color w:val="555555"/>
          <w:sz w:val="18"/>
        </w:rPr>
        <w:t xml:space="preserve">Historische Fassung: Stand 26.06.2021 bis 01.07.2021. Dies ist nicht die aktuelle Fassung.</w:t>
      </w:r>
    </w:p>
    <w:p>
      <w:r>
        <w:t xml:space="preserve">(1) Für die einem Gerichtsvollzieher oder einem anderen im Vollstreckungsdienst tätigen Beamten nach dieser Verordnung im Kalenderjahr zustehende Vergütung gelten Höchstbeträge. Der Höchstbetrag beträgt für die Vergütung nach</w:t>
      </w:r>
    </w:p>
    <w:p>
      <w:r>
        <w:rPr>
          <w:rFonts w:ascii="Courier New" w:hAnsi="Courier New"/>
          <w:sz w:val="17"/>
        </w:rPr>
        <w:t xml:space="preserve">Abschnitt I    2.392,85 Euro,</w:t>
      </w:r>
    </w:p>
    <w:p>
      <w:r>
        <w:rPr>
          <w:rFonts w:ascii="Courier New" w:hAnsi="Courier New"/>
          <w:sz w:val="17"/>
        </w:rPr>
        <w:t xml:space="preserve">Abschnitt III    1.914,28 Euro,</w:t>
      </w:r>
    </w:p>
    <w:p>
      <w:r>
        <w:rPr>
          <w:rFonts w:ascii="Courier New" w:hAnsi="Courier New"/>
          <w:sz w:val="17"/>
        </w:rPr>
        <w:t xml:space="preserve">Abschnitt II und Abschnitt IV    1.435,71 Euro.</w:t>
      </w:r>
    </w:p>
    <w:p>
      <w:r>
        <w:t xml:space="preserve">Wird der Höchstbetrag der Vergütung überschritten, so verbleiben dem Beamten 40 vom Hundert des Mehrbetrages. Die zuständige Stelle kann bestimmen, dass monatlich oder vierteljährlich eine vorläufige Berechnung der Vergütung vorzunehmen ist. Dabei sind als anteiliger Höchstbetrag zugrunde zu legen bei der Vergütung nach</w:t>
      </w:r>
    </w:p>
    <w:p>
      <w:r>
        <w:rPr>
          <w:rFonts w:ascii="Courier New" w:hAnsi="Courier New"/>
          <w:sz w:val="17"/>
        </w:rPr>
        <w:t xml:space="preserve">Abschnitt I    monatlich 199,40 Euro oder vierteljährlich 598,21 Euro,</w:t>
      </w:r>
    </w:p>
    <w:p>
      <w:r>
        <w:rPr>
          <w:rFonts w:ascii="Courier New" w:hAnsi="Courier New"/>
          <w:sz w:val="17"/>
        </w:rPr>
        <w:t xml:space="preserve">Abschnitt III    monatlich 159,52 Euro oder vierteljährlich 478,57 Euro,</w:t>
      </w:r>
    </w:p>
    <w:p>
      <w:r>
        <w:rPr>
          <w:rFonts w:ascii="Courier New" w:hAnsi="Courier New"/>
          <w:sz w:val="17"/>
        </w:rPr>
        <w:t xml:space="preserve">Abschnitt II und Abschnitt IV    monatlich 119,64 Euro oder vierteljährlich 358,93 Euro.</w:t>
      </w:r>
    </w:p>
    <w:p>
      <w:r>
        <w:t xml:space="preserve">(2) Wird der Beamte nicht für das gesamte Kalenderjahr mit Tätigkeiten beschäftigt, auf Grund derer ihm Vergütung nach diesen Vorschriften zusteht, verringert sich der Höchstbetrag entsprechend; für jeden fehlenden Kalendertag ist ein anteiliger Betrag bei der Vergütung nach Abschnitt I von 6,65 Euro, bei der Vergütung nach Abschnitt III von 5,32 Euro und bei der Vergütung nach Abschnitt II oder Abschnitt IV von 3,99 Euro abzuziehen. Die Dauer des regelmäßigen Erholungsurlaubs und die einer sonst im Interesse des Dienstherrn erfolgten Beurlaubung sowie die Zeit einer Erkrankung sind als Beschäftigungszeit anzusehen.</w:t>
      </w:r>
    </w:p>
    <w:p>
      <w:r>
        <w:rPr>
          <w:color w:val="555555"/>
          <w:sz w:val="17"/>
        </w:rPr>
        <w:t xml:space="preserve">Zitiervorschlag: § 9 VollstrVergV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https://recht.nulegal.eu/gesetze/VollstrVergV/9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