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VollstrVergV</w:t>
      </w:r>
    </w:p>
    <w:p>
      <w:r>
        <w:rPr>
          <w:color w:val="555555"/>
          <w:sz w:val="18"/>
        </w:rPr>
        <w:t xml:space="preserve">Vollstreckungsvergütungsverordnung</w:t>
      </w:r>
    </w:p>
    <w:p>
      <w:r>
        <w:rPr>
          <w:color w:val="555555"/>
          <w:sz w:val="18"/>
        </w:rPr>
        <w:t xml:space="preserve">Historische Fassung: Stand 10.06.2019 bis 01.07.2021. Dies ist nicht die aktuelle Fassung.</w:t>
      </w:r>
    </w:p>
    <w:p>
      <w:r>
        <w:t xml:space="preserve">(1) Die Vergütung des Gerichtsvollziehers gehört in Höhe von 10 vom Hundert des Endgrundgehalts der Besoldungsgruppe, die der Bemessung der Versorgungsbezüge des Beamten zugrunde liegt, zu den ruhegehaltfähigen Dienstbezügen, wenn der Beamte mindestens zehn Jahre ausschließlich im Vollstreckungsaußendienst tätig gewesen ist und beim Eintritt des Versorgungsfalles eine Vergütung nach dieser Verordnung bezieht oder ohne Berücksichtigung einer vorangegangenen Dienstunfähigkeit bezogen hätte. Die Frist gilt bei einem Beamten, dessen Beamtenverhältnis durch Eintritt in den Ruhestand wegen Dienstunfähigkeit oder durch Tod geendet hat, als erfüllt, wenn er bis zum Eintritt in den Ruhestand wegen Erreichens der Altersgrenze zehn Jahre ausschließlich im Vollstreckungsaußendienst hätte tätig sein können.</w:t>
      </w:r>
    </w:p>
    <w:p>
      <w:r>
        <w:t xml:space="preserve">(2) Die Vergütung gehört in dem in Absatz 1 Satz 1 bestimmten Umfang auch dann zu den ruhegehaltfähigen Dienstbezügen, wenn der Beamte mindestens zehn Jahre im Vollstreckungsaußendienst tätig gewesen ist und vor Eintritt in den Ruhestand wegen Dienstunfähigkeit für den Vollstreckungsaußendienst in eine andere Verwendung übernommen worden ist. Die Frist gilt als erfüllt, wenn die andere Verwendung infolge Krankheit oder Beschädigung, die sich der Beamte ohne grobes Verschulden bei Ausübung oder aus Veranlassung seines Dienstes als Gerichtsvollzieher zugezogen hat, notwendig wird und die Frist ohne diese Krankheit oder Beschädigung hätte erfüllt werden können. In den Fällen der Sätze 1 und 2 ist bei der Bemessung des ruhegehaltfähigen Teils der Vollstreckungsvergütung höchstens das Endgrundgehalt des Spitzenamtes des Gerichtsvollzieherdienstes zugrunde zu legen.</w:t>
      </w:r>
    </w:p>
    <w:p>
      <w:r>
        <w:t xml:space="preserve">(3) In den Fällen einer Altersteilzeit im Blockmodell gilt Absatz 1 Satz 1 entsprechend, wenn der Beamte unmittelbar vor Beginn der Freistellungsphase mindestens zehn Jahre ausschließlich im Vollstreckungsaußendienst tätig gewesen ist.</w:t>
      </w:r>
    </w:p>
    <w:p>
      <w:r>
        <w:t xml:space="preserve">(4) Soweit durch diese Verordnung eine teilweise ruhegehaltfähige Vergütung durch eine nichtruhegehaltfähige Vergütung ersetzt wird, gilt für die bisherigen Empfänger der teilweise ruhegehaltfähigen Vergütung die Vergütung nach dieser Verordnung unter den allgemeinen Voraussetzungen des Absatzes 1 bis zur Höhe des bisher ruhegehaltfähigen Teils als ruhegehaltfähig.</w:t>
      </w:r>
    </w:p>
    <w:p>
      <w:r>
        <w:rPr>
          <w:color w:val="555555"/>
          <w:sz w:val="17"/>
        </w:rPr>
        <w:t xml:space="preserve">Zitiervorschlag: § 12 VollstrVergV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https://recht.nulegal.eu/gesetze/VollstrVergV/12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