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VollstrVergV</w:t>
      </w:r>
    </w:p>
    <w:p>
      <w:r>
        <w:rPr>
          <w:color w:val="555555"/>
          <w:sz w:val="18"/>
        </w:rPr>
        <w:t xml:space="preserve">Vollstreckungsvergütungsverordnung</w:t>
      </w:r>
    </w:p>
    <w:p>
      <w:r>
        <w:rPr>
          <w:color w:val="555555"/>
          <w:sz w:val="18"/>
        </w:rPr>
        <w:t xml:space="preserve">Historische Fassung: Stand 10.06.2019 bis 01.07.2021. Dies ist nicht die aktuelle Fassung.</w:t>
      </w:r>
    </w:p>
    <w:p>
      <w:r>
        <w:t xml:space="preserve">(1) Mit der Vergütung sind auch die besonderen, für die Vollziehertätigkeit typischen Aufwendungen abgegolten. Typische Aufwendungen sind insbesondere die Aufwendungen bei Nachtdienst.</w:t>
      </w:r>
    </w:p>
    <w:p>
      <w:r>
        <w:t xml:space="preserve">(2) Die Abgeltung der mit dem Außendienst verbundenen Fahrtkosten und sonstigen Mehraufwendungen richtet sich - soweit hierzu nicht besondere Bestimmungen ergangen sind - nach den allgemeinen reisekostenrechtlichen Vorschriften.</w:t>
      </w:r>
    </w:p>
    <w:p>
      <w:r>
        <w:rPr>
          <w:color w:val="555555"/>
          <w:sz w:val="17"/>
        </w:rPr>
        <w:t xml:space="preserve">Zitiervorschlag: § 11 VollstrVergV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https://recht.nulegal.eu/gesetze/VollstrVergV/11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