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VollstrPV</w:t>
      </w:r>
    </w:p>
    <w:p>
      <w:r>
        <w:rPr>
          <w:color w:val="555555"/>
          <w:sz w:val="18"/>
        </w:rPr>
        <w:t xml:space="preserve">Vollstreckungspauschalen-Verordnung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19a Absatz 3 des Verwaltungs-Vollstreckungsgesetzes, der durch Artikel 1 Nummer 3 des Gesetzes vom 25. November 2014 (BGBl. I S. 1770) eingefügt worden ist, verordnet das Bundesministerium der Finanzen im Einvernehmen mit dem Bundesministerium für Arbeit und Soziales und dem Bundesministerium für Gesundheit:</w:t>
      </w:r>
    </w:p>
    <w:p>
      <w:r>
        <w:rPr>
          <w:color w:val="555555"/>
          <w:sz w:val="17"/>
        </w:rPr>
        <w:t xml:space="preserve">Zitiervorschlag: Eingangsformel VollstrPV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https://recht.nulegal.eu/gesetze/VollstrPV/eingangsformel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