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VollstrAbkBELAG</w:t>
      </w:r>
    </w:p>
    <w:p>
      <w:r>
        <w:rPr>
          <w:color w:val="555555"/>
          <w:sz w:val="18"/>
        </w:rPr>
        <w:t xml:space="preserve">Gesetz zur Ausführung des Abkommens zwischen der Bundesrepublik Deutschland und dem Königreich Belgien vom 30. Juni 1958 über die gegenseitige Anerkennung und Vollstreckung von gerichtlichen Entscheidungen, Schiedssprüchen und öffentlichen Urkunden in Zivil- und Handelssachen</w:t>
      </w:r>
    </w:p>
    <w:p>
      <w:r>
        <w:rPr>
          <w:color w:val="555555"/>
          <w:sz w:val="18"/>
        </w:rPr>
        <w:t xml:space="preserve">Stand: 10.06.2019 (konsolidierte Textfassung, kein amtliches Inkrafttretensdatum)</w:t>
      </w:r>
    </w:p>
    <w:p>
      <w:r>
        <w:t xml:space="preserve">Hängt die Vollstreckung nach dem Inhalt der gerichtlichen Entscheidung, des Schiedsspruchs oder der öffentlichen Urkunde von dem Ablauf einer Frist oder von dem Eintritt einer anderen Tatsache ab oder wird die Vollstreckbarerklärung zugunsten eines anderen als des in der gerichtlichen Entscheidung, dem Schiedsspruch oder der öffentlichen Urkunde bezeichneten Gläubigers oder gegen einen anderen als den darin bezeichneten Schuldner nachgesucht, so ist die Frage, inwieweit die Vollstreckbarerklärung von dem Nachweis besonderer Voraussetzungen abhängig oder ob die Entscheidung für oder gegen den anderen vollstreckbar ist, nach belgischem Recht zu entscheiden. Ein solcher Nachweis ist durch öffentliche oder öffentlich beglaubigte Urkunden zu führen, sofern nicht die nachzuweisenden Tatsachen bei dem Gericht offenkundig sind. Kann er in dieser Form nicht erbracht werden, so ist mündliche Verhandlung anzuordnen.</w:t>
      </w:r>
    </w:p>
    <w:p>
      <w:r>
        <w:rPr>
          <w:color w:val="555555"/>
          <w:sz w:val="17"/>
        </w:rPr>
        <w:t xml:space="preserve">Zitiervorschlag: § 4 VollstrAbkBELAG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https://recht.nulegal.eu/gesetze/VollstrAbkBELAG/4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