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VollstrAStrVEGÜbkG</w:t>
      </w:r>
    </w:p>
    <w:p>
      <w:r>
        <w:rPr>
          <w:color w:val="555555"/>
          <w:sz w:val="18"/>
        </w:rPr>
        <w:t xml:space="preserve">Gesetz zu dem Übereinkommen vom 13. November 1991 zwischen den Mitgliedstaaten der Europäischen Gemeinschaften über die Vollstreckung ausländischer strafrechtlicher Verurteilungen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Übereinkommen nach seinem Artikel 21 Abs. 2 für die Bundesrepublik Deutschland in Kraft tritt, ist im Bundesgesetzblatt bekanntzugeben. Das gleiche gilt für den Tag, von dem an das Übereinkommen nach seinem Artikel 21 Abs. 3 vorzeitige Anwendung findet.</w:t>
      </w:r>
    </w:p>
    <w:p>
      <w:r>
        <w:rPr>
          <w:color w:val="555555"/>
          <w:sz w:val="17"/>
        </w:rPr>
        <w:t xml:space="preserve">Zitiervorschlag: Art 3 VollstrAStrVEGÜbkG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https://recht.nulegal.eu/gesetze/VollstrAStrVEG%C3%9CbkG/3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