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VogelBerVO (Sachsen)</w:t>
      </w:r>
    </w:p>
    <w:p>
      <w:r>
        <w:rPr>
          <w:color w:val="555555"/>
          <w:sz w:val="18"/>
        </w:rPr>
        <w:t xml:space="preserve">Vogelberingungsverordnung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28 Nr. 4 des Sächsischen Gesetzes über Naturschutz und Landschaftspflege (Sächsisches Naturschutzgesetz – SächsNatSchG) in der Fassung der Bekanntmachung vom 11. Oktober 1994 (SächsGVBl. S. 1601, ber. 1995 S. 106) wird im Benehmen mit dem Sächsischen Staatsministerium für Landwirtschaft, Ernährung und Forsten verordnet:</w:t>
      </w:r>
    </w:p>
    <w:p>
      <w:r>
        <w:rPr>
          <w:color w:val="555555"/>
          <w:sz w:val="17"/>
        </w:rPr>
        <w:t xml:space="preserve">Zitiervorschlag: Eingangsformel VogelBerVO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https://recht.nulegal.eu/gesetze/VogelBerVO/eingangsformel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