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VogelBerVO (Sachsen) — Inkrafttreten</w:t>
      </w:r>
    </w:p>
    <w:p>
      <w:r>
        <w:rPr>
          <w:color w:val="555555"/>
          <w:sz w:val="18"/>
        </w:rPr>
        <w:t xml:space="preserve">Vogelberingungsverordnung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12. September 1995</w:t>
      </w:r>
    </w:p>
    <w:p>
      <w:r>
        <w:t xml:space="preserve">Der Staatsminister</w:t>
      </w:r>
    </w:p>
    <w:p>
      <w:r>
        <w:t xml:space="preserve">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§ 9 VogelBerVO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https://recht.nulegal.eu/gesetze/VogelBerVO/9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