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VkENOG — Ermächtigung zum Abschluss eines öffentlich-rechtlichen Vertrags</w:t>
      </w:r>
    </w:p>
    <w:p>
      <w:r>
        <w:rPr>
          <w:color w:val="555555"/>
          <w:sz w:val="18"/>
        </w:rPr>
        <w:t xml:space="preserve">Gesetz zur Neuordnung der Verantwortung in der kerntechnischen Entsorgung</w:t>
      </w:r>
    </w:p>
    <w:p>
      <w:r>
        <w:rPr>
          <w:color w:val="555555"/>
          <w:sz w:val="18"/>
        </w:rPr>
        <w:t xml:space="preserve">Stand: 12.08.2020 (konsolidierte Textfassung, kein amtliches Inkrafttretensdatum)</w:t>
      </w:r>
    </w:p>
    <w:p>
      <w:r>
        <w:t xml:space="preserve">Das Bundesministerium für Wirtschaft und Energie kann für die Bundesrepublik Deutschland im Einvernehmen mit dem Bundesministerium der Finanzen und dem Bundesministerium für Umwelt, Naturschutz und nukleare Sicherheit mit den Betreibern von im Inland belegenen Anlagen zur Spaltung von Kernbrennstoffen zur gewerblichen Erzeugung von Elektrizität und ihren Konzernobergesellschaften einen öffentlich-rechtlichen Vertrag über den Übergang der Finanzierungs- und Handlungsverantwortung nach den §§ 1 und 2 des Entsorgungsübergangsgesetzes und die Zahlungsverpflichtungen nach den §§ 7 und 8 des Entsorgungsfondsgesetzes jeweils in der Fassung des Inkrafttretens, über die Übertragung von im Bereich der Zwischen- oder Endlagerung tätigen Gesellschaften und Einrichtungen, über die Voraussetzungen für die Abgabe radioaktiver Abfälle an einen vom Bund mit der Wahrnehmung der Zwischenlagerung beauftragten Dritter und über die nähere Ausgestaltung der Übernahme der Zwischenlager durch den Bund, über die Beschäftigtensicherung sowie über die Rücknahme von Rechtsbehelfen und zu Rechtsbehelfsverzichten schließen.</w:t>
      </w:r>
    </w:p>
    <w:p>
      <w:r>
        <w:rPr>
          <w:color w:val="555555"/>
          <w:sz w:val="17"/>
        </w:rPr>
        <w:t xml:space="preserve">Zitiervorschlag: § 1 VkENOG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https://recht.nulegal.eu/gesetze/VkENOG/1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