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VkBkmG — Sicherung der Echtheit und Unverfälschtheit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Jede Nummer des Bundesgesetzblatts, die nach § 3 Absatz 1 oder nach § 8 Absatz 1 ausgegeben wird, und jede Nummer des amtlichen Teils des Bundesanzeigers trägt ein qualifiziertes elektronisches Siegel nach Artikel 3 Nummer 27 der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19; L 155 vom 14.6.2016, S. 44).</w:t>
      </w:r>
    </w:p>
    <w:p>
      <w:r>
        <w:t xml:space="preserve">(2) Wird die Urschrift eines Gesetzes elektronisch zur Gegenzeichnung und Ausfertigung vorgelegt, so erfolgen diese jeweils durch qualifizierte elektronische Signatur nach Artikel 3 Nummer 12 der Verordnung (EU) Nr. 910/2014. Gleiches gilt auch für die Ausfertigung von Rechtsverordnungen und amtlichen Bekanntmachungen.</w:t>
      </w:r>
    </w:p>
    <w:p>
      <w:r>
        <w:rPr>
          <w:color w:val="555555"/>
          <w:sz w:val="17"/>
        </w:rPr>
        <w:t xml:space="preserve">Zitiervorschlag: § 7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