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VkBkmG — Freier Zugang</w:t>
      </w:r>
    </w:p>
    <w:p>
      <w:r>
        <w:rPr>
          <w:color w:val="555555"/>
          <w:sz w:val="18"/>
        </w:rPr>
        <w:t xml:space="preserve">Verkündungs- und Bekanntmachungsgesetz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Das Bundesgesetzblatt ist jederzeit frei zugänglich. Es kann unentgeltlich gelesen, ausgedruckt, gespeichert und verwertet werden.</w:t>
      </w:r>
    </w:p>
    <w:p>
      <w:r>
        <w:t xml:space="preserve">(2) Der amtliche Teil des Bundesanzeigers ist jederzeit frei zugänglich. Er kann unentgeltlich gelesen, ausgedruckt und gespeichert werden.</w:t>
      </w:r>
    </w:p>
    <w:p>
      <w:r>
        <w:rPr>
          <w:color w:val="555555"/>
          <w:sz w:val="17"/>
        </w:rPr>
        <w:t xml:space="preserve">Zitiervorschlag: § 4 VkBkmG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https://recht.nulegal.eu/gesetze/VkBkmG/4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