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VkBkmG — Bußgeldvorschriften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eine in § 19 bezeichnete Handlung fahrlässig begeht.</w:t>
      </w:r>
    </w:p>
    <w:p>
      <w:r>
        <w:t xml:space="preserve">(2) Ordnungswidrig handelt, wer vorsätzlich oder fahrlässig einer vollziehbaren Anordnung nach § 11 Absatz 1 Nummer 3 oder Absatz 3 zuwiderhandelt.</w:t>
      </w:r>
    </w:p>
    <w:p>
      <w:r>
        <w:t xml:space="preserve">(3)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20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