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VideoedAusbV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Auf Grund des § 25 Abs. 1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