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VglWebV — (zu § 15 Absatz 1)Zertifizierungssymbol</w:t>
      </w:r>
    </w:p>
    <w:p>
      <w:r>
        <w:rPr>
          <w:color w:val="555555"/>
          <w:sz w:val="18"/>
        </w:rPr>
        <w:t xml:space="preserve">Vergleichswebsitesverordnung</w:t>
      </w:r>
    </w:p>
    <w:p>
      <w:r>
        <w:rPr>
          <w:color w:val="555555"/>
          <w:sz w:val="18"/>
        </w:rPr>
        <w:t xml:space="preserve">Historische Fassung: Stand 10.06.2019 bis 30.01.2024. Dies ist nicht die aktuelle Fassung.</w:t>
      </w:r>
    </w:p>
    <w:p>
      <w:r>
        <w:t xml:space="preserve">(Fundstelle: BGBl. I 2018, 1187)</w:t>
      </w:r>
    </w:p>
    <w:p>
      <w:r>
        <w:t xml:space="preserve">[Abbildung]</w:t>
      </w:r>
    </w:p>
    <w:p>
      <w:r>
        <w:rPr>
          <w:color w:val="555555"/>
          <w:sz w:val="17"/>
        </w:rPr>
        <w:t xml:space="preserve">Zitiervorschlag: Anlage 2 VglWebV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https://recht.nulegal.eu/gesetze/VglWebV/anlage-2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